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4C3B54EF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A077A4">
        <w:rPr>
          <w:rFonts w:ascii="Arial" w:hAnsi="Arial"/>
          <w:b/>
          <w:lang w:bidi="de-DE"/>
        </w:rPr>
        <w:t>ENERENT</w:t>
      </w:r>
    </w:p>
    <w:p w14:paraId="1FC484A6" w14:textId="3521D4BC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Lüftungsgeräte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COOLAIR MLG FU 150 kW - Mobile Lüftungsgeräte</w:t>
      </w:r>
    </w:p>
    <w:p w14:paraId="7119C497" w14:textId="77777777" w:rsidR="00A077A4" w:rsidRPr="004C0792" w:rsidRDefault="00A077A4" w:rsidP="00A077A4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0497D68F" w14:textId="77777777" w:rsidR="00A077A4" w:rsidRPr="004C0792" w:rsidRDefault="00A077A4" w:rsidP="00A077A4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500EEF9C" w14:textId="77777777" w:rsidR="00A077A4" w:rsidRPr="004C0792" w:rsidRDefault="00A077A4" w:rsidP="00A077A4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680B0E55" w14:textId="77777777" w:rsidR="00A077A4" w:rsidRPr="004C0792" w:rsidRDefault="00A077A4" w:rsidP="00A077A4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0B31CAD8" w14:textId="77777777" w:rsidR="00A077A4" w:rsidRPr="004C0792" w:rsidRDefault="00A077A4" w:rsidP="00A077A4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103F6C88" w14:textId="77777777" w:rsidR="00A077A4" w:rsidRPr="00AC4FC3" w:rsidRDefault="00A077A4" w:rsidP="00A077A4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10A49B56" w14:textId="7C9EBF31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COOLAIR MLG 150 FU - Mobile Lüftungsgeräte mit einer Leistung bis 150 kW (Kälte)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0ACF815" w14:textId="2D9C6FAF" w:rsidR="00331DCD" w:rsidRPr="00C53FA6" w:rsidRDefault="00331DCD" w:rsidP="001D6B1A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53FA6">
        <w:rPr>
          <w:rFonts w:ascii="Arial" w:hAnsi="Arial" w:cs="Times New Roman"/>
          <w:sz w:val="20"/>
        </w:rPr>
        <w:t>Lieferung und Aufstellung</w:t>
      </w:r>
      <w:r w:rsidRPr="00C53FA6">
        <w:rPr>
          <w:rFonts w:ascii="Arial" w:hAnsi="Arial" w:cs="Times New Roman"/>
          <w:i/>
          <w:iCs/>
          <w:sz w:val="20"/>
        </w:rPr>
        <w:t xml:space="preserve"> </w:t>
      </w:r>
      <w:r w:rsidRPr="00C53FA6">
        <w:rPr>
          <w:rFonts w:ascii="Arial" w:hAnsi="Arial" w:cs="Times New Roman"/>
          <w:sz w:val="20"/>
        </w:rPr>
        <w:t xml:space="preserve">eines mobilen Lüftungsgerätes mit einer Kälteleistung bis 150 kW und einer Wärmeleistung bis 300 kW auf Mietbasis. Fünfstufig regelbar </w:t>
      </w:r>
      <w:r w:rsidR="00E72F9D" w:rsidRPr="00C53FA6">
        <w:rPr>
          <w:rFonts w:ascii="Arial" w:hAnsi="Arial" w:cs="Times New Roman"/>
          <w:sz w:val="20"/>
        </w:rPr>
        <w:t xml:space="preserve">und </w:t>
      </w:r>
      <w:r w:rsidRPr="00C53FA6">
        <w:rPr>
          <w:rFonts w:ascii="Arial" w:hAnsi="Arial" w:cs="Times New Roman"/>
          <w:sz w:val="20"/>
        </w:rPr>
        <w:t>speziell geeignet zur Kühlung von Serverräumen</w:t>
      </w:r>
      <w:r w:rsidR="00E72F9D" w:rsidRPr="00C53FA6">
        <w:rPr>
          <w:rFonts w:ascii="Arial" w:hAnsi="Arial" w:cs="Times New Roman"/>
          <w:sz w:val="20"/>
        </w:rPr>
        <w:t>,</w:t>
      </w:r>
      <w:r w:rsidRPr="00C53FA6">
        <w:rPr>
          <w:rFonts w:ascii="Arial" w:hAnsi="Arial" w:cs="Times New Roman"/>
          <w:sz w:val="20"/>
        </w:rPr>
        <w:t xml:space="preserve"> zur Veranstaltungsklimatisierung sowie zur Beheizung von Langerhallen. Luftverteilung mittels flexiblen Luftschläuchen 4 x 500 mm. </w:t>
      </w:r>
      <w:r w:rsidR="00E72F9D" w:rsidRPr="00C53FA6">
        <w:rPr>
          <w:rFonts w:ascii="Arial" w:hAnsi="Arial" w:cs="Times New Roman"/>
          <w:sz w:val="20"/>
        </w:rPr>
        <w:t xml:space="preserve">Einzelne Abgänge können verschlossen werden. </w:t>
      </w:r>
      <w:r w:rsidRPr="00C53FA6">
        <w:rPr>
          <w:rFonts w:ascii="Arial" w:hAnsi="Arial" w:cs="Times New Roman"/>
          <w:sz w:val="20"/>
        </w:rPr>
        <w:t xml:space="preserve">Aufbau und Inbetriebnahme des Lüftungsgerätes durch einen </w:t>
      </w:r>
      <w:r w:rsidR="001D15D8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>-Techniker.</w:t>
      </w:r>
    </w:p>
    <w:p w14:paraId="43F92512" w14:textId="41BF8957" w:rsidR="00331DCD" w:rsidRPr="00C53FA6" w:rsidRDefault="00331DCD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  <w:r w:rsidRPr="00C53FA6">
        <w:rPr>
          <w:rFonts w:ascii="Arial" w:hAnsi="Arial" w:cs="Times New Roman"/>
          <w:sz w:val="20"/>
        </w:rPr>
        <w:t>Abtransport des mobilen Lüftungsgerätes nach Beendigung der Mietzeit sowie dessen Wartu</w:t>
      </w:r>
      <w:r w:rsidR="00E72F9D" w:rsidRPr="00C53FA6">
        <w:rPr>
          <w:rFonts w:ascii="Arial" w:hAnsi="Arial" w:cs="Times New Roman"/>
          <w:sz w:val="20"/>
        </w:rPr>
        <w:t>ng und Reinigung.</w:t>
      </w:r>
    </w:p>
    <w:p w14:paraId="649EA9D2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5E5CE5B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4C2A569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COOLAIR MLG 150 FU - Mobile Lüftungsgeräte</w:t>
      </w:r>
    </w:p>
    <w:p w14:paraId="0F47ECE5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2D43DE9" w14:textId="77777777" w:rsidR="00C53FA6" w:rsidRDefault="00C53FA6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Kälteleistung: Luft (32°C/18°C) ǀ Wasser (12°C/ 6°C) bis 150 kW</w:t>
      </w:r>
    </w:p>
    <w:p w14:paraId="03580311" w14:textId="77777777" w:rsidR="00C53FA6" w:rsidRDefault="00C53FA6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Wärmeleistung: Luft (10°C/ 60°C) ǀ Wasser (90°C/ 70°C) bis 300 kW</w:t>
      </w:r>
    </w:p>
    <w:p w14:paraId="48C7370C" w14:textId="5503E5D0" w:rsidR="00E72F9D" w:rsidRDefault="00E72F9D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</w:t>
      </w:r>
      <w:r w:rsidR="00C53FA6">
        <w:rPr>
          <w:rFonts w:ascii="Arial" w:hAnsi="Arial"/>
          <w:sz w:val="20"/>
          <w:lang w:bidi="de-DE"/>
        </w:rPr>
        <w:t>en (L x B x H)</w:t>
      </w:r>
      <w:r>
        <w:rPr>
          <w:rFonts w:ascii="Arial" w:hAnsi="Arial"/>
          <w:sz w:val="20"/>
          <w:lang w:bidi="de-DE"/>
        </w:rPr>
        <w:t xml:space="preserve">: 2.610 x 1.200 x 1.890 mm </w:t>
      </w:r>
    </w:p>
    <w:p w14:paraId="1D9792F7" w14:textId="2E78B312" w:rsidR="00E72F9D" w:rsidRDefault="00E72F9D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850 kg / 1.000 kg</w:t>
      </w:r>
    </w:p>
    <w:p w14:paraId="7AC5BF8C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Pressung extern: 400 </w:t>
      </w:r>
      <w:proofErr w:type="spellStart"/>
      <w:r>
        <w:rPr>
          <w:rFonts w:ascii="Arial" w:hAnsi="Arial"/>
          <w:sz w:val="20"/>
          <w:lang w:bidi="de-DE"/>
        </w:rPr>
        <w:t>Pa</w:t>
      </w:r>
      <w:proofErr w:type="spellEnd"/>
    </w:p>
    <w:p w14:paraId="0F526A5A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Pressung gesamt: 700 </w:t>
      </w:r>
      <w:proofErr w:type="spellStart"/>
      <w:r>
        <w:rPr>
          <w:rFonts w:ascii="Arial" w:hAnsi="Arial"/>
          <w:sz w:val="20"/>
          <w:lang w:bidi="de-DE"/>
        </w:rPr>
        <w:t>Pa</w:t>
      </w:r>
      <w:proofErr w:type="spellEnd"/>
    </w:p>
    <w:p w14:paraId="67C6C859" w14:textId="58C2029F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Schalldruckpegel: </w:t>
      </w:r>
      <w:r w:rsidR="00E72F9D">
        <w:rPr>
          <w:rFonts w:ascii="Arial" w:hAnsi="Arial"/>
          <w:sz w:val="20"/>
          <w:lang w:bidi="de-DE"/>
        </w:rPr>
        <w:t xml:space="preserve">am Gerät (Druckstutzen) </w:t>
      </w:r>
      <w:r>
        <w:rPr>
          <w:rFonts w:ascii="Arial" w:hAnsi="Arial"/>
          <w:sz w:val="20"/>
          <w:lang w:bidi="de-DE"/>
        </w:rPr>
        <w:t xml:space="preserve">89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5000ED60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Motorleistung: 11 kW</w:t>
      </w:r>
    </w:p>
    <w:p w14:paraId="2A744EA7" w14:textId="1E87A64F" w:rsidR="00E72F9D" w:rsidRDefault="00E72F9D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Absicherung: Allstromsensitiver FI 30</w:t>
      </w:r>
      <w:r w:rsidR="00C53FA6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mA (bauseits)</w:t>
      </w:r>
    </w:p>
    <w:p w14:paraId="4E9F5D0E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Spannung: 400 V</w:t>
      </w:r>
    </w:p>
    <w:p w14:paraId="52C1D27A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Nennstrom: 22 A</w:t>
      </w:r>
    </w:p>
    <w:p w14:paraId="70B47DD7" w14:textId="591B3A03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Elektrischer Anschluss: 32A</w:t>
      </w:r>
      <w:r w:rsidR="00E72F9D">
        <w:rPr>
          <w:rFonts w:ascii="Arial" w:hAnsi="Arial"/>
          <w:sz w:val="20"/>
          <w:lang w:bidi="de-DE"/>
        </w:rPr>
        <w:t xml:space="preserve"> Stecker</w:t>
      </w:r>
    </w:p>
    <w:p w14:paraId="574C940B" w14:textId="04E199FE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Wasseranschlüsse: Bauer</w:t>
      </w:r>
      <w:r w:rsidR="00E72F9D">
        <w:rPr>
          <w:rFonts w:ascii="Arial" w:hAnsi="Arial"/>
          <w:sz w:val="20"/>
          <w:lang w:bidi="de-DE"/>
        </w:rPr>
        <w:t xml:space="preserve"> 2"</w:t>
      </w:r>
    </w:p>
    <w:p w14:paraId="2FD85C6A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Filterklasse: G 4</w:t>
      </w:r>
    </w:p>
    <w:p w14:paraId="658E8149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2EDDA370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60B256BD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Vermietung MLG 150 </w:t>
      </w:r>
      <w:proofErr w:type="gramStart"/>
      <w:r>
        <w:rPr>
          <w:rFonts w:ascii="Arial" w:hAnsi="Arial"/>
          <w:sz w:val="20"/>
          <w:lang w:bidi="de-DE"/>
        </w:rPr>
        <w:t>FU Mietzeit</w:t>
      </w:r>
      <w:proofErr w:type="gramEnd"/>
      <w:r>
        <w:rPr>
          <w:rFonts w:ascii="Arial" w:hAnsi="Arial"/>
          <w:sz w:val="20"/>
          <w:lang w:bidi="de-DE"/>
        </w:rPr>
        <w:t xml:space="preserve"> / Tag</w:t>
      </w:r>
    </w:p>
    <w:p w14:paraId="554E801A" w14:textId="061FB520" w:rsidR="009518E9" w:rsidRDefault="001D15D8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512F1D5" w14:textId="77777777" w:rsidR="00CE7F87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0BA7CB80" w14:textId="0A3EC4DC" w:rsidR="00CE7F87" w:rsidRPr="00CE7F87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3F36937D" w14:textId="4C5BB0A7" w:rsidR="00CE7F87" w:rsidRPr="00CE7F87" w:rsidRDefault="001D15D8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2BC4FFC6" w14:textId="77777777" w:rsidR="00CE7F87" w:rsidRPr="00CE7F87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3F950ED8" w14:textId="77777777" w:rsidR="00CE7F87" w:rsidRPr="00CE7F87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Haftungsübernahme Zubehör / Tag</w:t>
      </w:r>
    </w:p>
    <w:p w14:paraId="54674BFC" w14:textId="09DC7640" w:rsidR="00CE7F87" w:rsidRPr="00CE7F87" w:rsidRDefault="001D15D8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0851C312" w14:textId="77777777" w:rsidR="00CE7F87" w:rsidRDefault="00CE7F87" w:rsidP="001D6B1A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0DF77138" w14:textId="536D239C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2 Stück VL / RL (Bauer) 2" </w:t>
      </w:r>
      <w:bookmarkStart w:id="0" w:name="_Hlk146549179"/>
      <w:r w:rsidR="00450FC4" w:rsidRPr="00450FC4">
        <w:rPr>
          <w:rFonts w:ascii="Arial" w:hAnsi="Arial" w:cs="Arial"/>
          <w:color w:val="444444"/>
          <w:sz w:val="20"/>
          <w:szCs w:val="20"/>
          <w:shd w:val="clear" w:color="auto" w:fill="FFFFFF"/>
        </w:rPr>
        <w:t>à</w:t>
      </w:r>
      <w:bookmarkEnd w:id="0"/>
      <w:r>
        <w:rPr>
          <w:rFonts w:ascii="Arial" w:hAnsi="Arial"/>
          <w:sz w:val="20"/>
          <w:lang w:bidi="de-DE"/>
        </w:rPr>
        <w:t xml:space="preserve"> 10</w:t>
      </w:r>
      <w:r w:rsidR="00E72F9D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68BF38AC" w14:textId="4CB93623" w:rsidR="009518E9" w:rsidRDefault="001D15D8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AEE1BB1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BA91CC8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2" pro Stück, 10 m / Tag</w:t>
      </w:r>
    </w:p>
    <w:p w14:paraId="51C2096F" w14:textId="66E9DC19" w:rsidR="009518E9" w:rsidRDefault="001D15D8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F0CD01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FF5657E" w14:textId="4464C7DE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Stromkabel 400 V CEE 32 A </w:t>
      </w:r>
      <w:r w:rsidR="00450FC4" w:rsidRPr="00450FC4">
        <w:rPr>
          <w:rFonts w:ascii="Arial" w:hAnsi="Arial" w:cs="Arial"/>
          <w:color w:val="444444"/>
          <w:sz w:val="20"/>
          <w:szCs w:val="20"/>
          <w:shd w:val="clear" w:color="auto" w:fill="FFFFFF"/>
        </w:rPr>
        <w:t>à</w:t>
      </w:r>
      <w:r>
        <w:rPr>
          <w:rFonts w:ascii="Arial" w:hAnsi="Arial"/>
          <w:sz w:val="20"/>
          <w:lang w:bidi="de-DE"/>
        </w:rPr>
        <w:t xml:space="preserve"> 25m / Tag</w:t>
      </w:r>
    </w:p>
    <w:p w14:paraId="04439394" w14:textId="024986F5" w:rsidR="009518E9" w:rsidRDefault="001D15D8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F815189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21B42A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Aufbau / Inbetriebnahme des Lüftungsgerätes</w:t>
      </w:r>
    </w:p>
    <w:p w14:paraId="1B095600" w14:textId="618220D2" w:rsidR="009518E9" w:rsidRDefault="001D15D8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034EDF4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9998D13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mit Spedition</w:t>
      </w:r>
    </w:p>
    <w:p w14:paraId="32C5C6CE" w14:textId="0F594B35" w:rsidR="009518E9" w:rsidRDefault="001D15D8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8688973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6DFEF6" w14:textId="77777777" w:rsidR="009518E9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</w:t>
      </w:r>
    </w:p>
    <w:p w14:paraId="4FDAD259" w14:textId="702DB218" w:rsidR="009518E9" w:rsidRDefault="001D15D8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8C475E7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94D8F9F" w14:textId="204E23E7" w:rsidR="009518E9" w:rsidRDefault="009518E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3B0EE557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0B1E7869" w14:textId="77777777">
              <w:tc>
                <w:tcPr>
                  <w:tcW w:w="880" w:type="dxa"/>
                </w:tcPr>
                <w:p w14:paraId="1F8B9537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8E8194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AFE0FCA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FB0825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6CAAF377" w14:textId="77777777">
              <w:tc>
                <w:tcPr>
                  <w:tcW w:w="600" w:type="dxa"/>
                </w:tcPr>
                <w:p w14:paraId="618501CB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6A2BFF5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4B17C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CDC6816" w14:textId="5FCAB183" w:rsidR="009518E9" w:rsidRDefault="001D15D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F15BF89" w14:textId="77777777">
              <w:tc>
                <w:tcPr>
                  <w:tcW w:w="600" w:type="dxa"/>
                </w:tcPr>
                <w:p w14:paraId="0E920DC1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4265EF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061BF24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0EE8FC8" w14:textId="33BE6176" w:rsidR="009518E9" w:rsidRDefault="001D15D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458113D8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8D4B" w14:textId="77777777" w:rsidR="000A37C6" w:rsidRDefault="000A37C6">
      <w:pPr>
        <w:spacing w:after="0" w:line="240" w:lineRule="auto"/>
      </w:pPr>
      <w:r>
        <w:separator/>
      </w:r>
    </w:p>
  </w:endnote>
  <w:endnote w:type="continuationSeparator" w:id="0">
    <w:p w14:paraId="37A615D0" w14:textId="77777777" w:rsidR="000A37C6" w:rsidRDefault="000A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8B8C" w14:textId="77777777" w:rsidR="000A37C6" w:rsidRDefault="000A37C6">
      <w:pPr>
        <w:spacing w:after="0" w:line="240" w:lineRule="auto"/>
      </w:pPr>
      <w:r>
        <w:separator/>
      </w:r>
    </w:p>
  </w:footnote>
  <w:footnote w:type="continuationSeparator" w:id="0">
    <w:p w14:paraId="374B632B" w14:textId="77777777" w:rsidR="000A37C6" w:rsidRDefault="000A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FF7094" w14:paraId="41E7A9D7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77C3D00" w14:textId="77777777" w:rsidR="00FF7094" w:rsidRDefault="00FF7094" w:rsidP="00FF7094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4AB7934A" w14:textId="243D1A85" w:rsidR="00FF7094" w:rsidRDefault="00FF7094" w:rsidP="00FF7094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7F9A5805" w14:textId="45283822" w:rsidR="00FF7094" w:rsidRDefault="00FF7094" w:rsidP="00FF7094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F2FA55C" w14:textId="5F31F9D4" w:rsidR="00FF7094" w:rsidRDefault="00FF7094" w:rsidP="00FF7094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A37C6"/>
    <w:rsid w:val="001D15D8"/>
    <w:rsid w:val="001D6B1A"/>
    <w:rsid w:val="00331DCD"/>
    <w:rsid w:val="00345A49"/>
    <w:rsid w:val="00450FC4"/>
    <w:rsid w:val="009101B5"/>
    <w:rsid w:val="009518E9"/>
    <w:rsid w:val="00965C13"/>
    <w:rsid w:val="00A077A4"/>
    <w:rsid w:val="00C53FA6"/>
    <w:rsid w:val="00CE7F87"/>
    <w:rsid w:val="00E72F9D"/>
    <w:rsid w:val="00F17F97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788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7094"/>
  </w:style>
  <w:style w:type="paragraph" w:styleId="Fuzeile">
    <w:name w:val="footer"/>
    <w:basedOn w:val="Standard"/>
    <w:link w:val="FuzeileZchn"/>
    <w:uiPriority w:val="99"/>
    <w:unhideWhenUsed/>
    <w:rsid w:val="00FF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A60BD2-8830-499E-B2AC-676F0D6C835B}"/>
</file>

<file path=customXml/itemProps2.xml><?xml version="1.0" encoding="utf-8"?>
<ds:datastoreItem xmlns:ds="http://schemas.openxmlformats.org/officeDocument/2006/customXml" ds:itemID="{A4151C44-46F3-4476-A202-EC46279B2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D1602-0327-4941-ABC5-0F49F34C9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1821</Characters>
  <Application>Microsoft Office Word</Application>
  <DocSecurity>0</DocSecurity>
  <Lines>130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5</cp:revision>
  <dcterms:created xsi:type="dcterms:W3CDTF">2023-11-14T13:26:00Z</dcterms:created>
  <dcterms:modified xsi:type="dcterms:W3CDTF">2023-11-14T13:33:00Z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